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Приложение № 21</w:t>
      </w:r>
    </w:p>
    <w:p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 Дополнительному тарифному </w:t>
      </w:r>
    </w:p>
    <w:p>
      <w:pPr>
        <w:pStyle w:val="ConsPlusNormal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соглашению № 8 от 01.11</w:t>
      </w:r>
      <w:bookmarkStart w:id="0" w:name="_GoBack"/>
      <w:bookmarkEnd w:id="0"/>
      <w:r>
        <w:rPr>
          <w:sz w:val="26"/>
          <w:szCs w:val="26"/>
        </w:rPr>
        <w:t>.2016г</w:t>
      </w:r>
    </w:p>
    <w:p>
      <w:pPr>
        <w:rPr>
          <w:sz w:val="26"/>
          <w:szCs w:val="26"/>
        </w:rPr>
      </w:pPr>
    </w:p>
    <w:p>
      <w:pPr>
        <w:spacing w:line="240" w:lineRule="auto"/>
        <w:jc w:val="center"/>
        <w:rPr>
          <w:b/>
          <w:sz w:val="28"/>
          <w:szCs w:val="28"/>
        </w:rPr>
      </w:pPr>
    </w:p>
    <w:p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Маршрутизации пациентов с подозрением на онкологическое заболевание и в случаях выявления злокачественных новообразований в медицинских организациях Магаданской области</w:t>
      </w:r>
    </w:p>
    <w:p/>
    <w:p/>
    <w:p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выявлении злокачественных новообразований или подозрении на них соблюдать следующую схему маршрутизации: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При локализации патологии в органах дыхания или пищеварения направлять больных в ГБУЗ «Магаданский областной онкологический диспансер» (далее – ГБУЗ «МООД») для уточнения диагноза  и последующего 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локализации патологии в  ЛОР органах: консультация отоларинголога областной консультативной поликлиники ГБУЗ «Магаданская областная больница» (далее – ГБУЗ «МОБ») с верификацией процесса и  последующим направлением в ГБУЗ «МООД» для  лечения или направления  в специализированные центры.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выявлении ЗНО или подозрении на рак молочной железы направлять больных в  ГБУЗ «МООД» и для верификации процесса и для 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локализации ЗНО в женской половой сфере направлять всех женщин  в  ГБУЗ «МООД».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локализации ЗНО в почках, мужской половой сферы: направление в урологическое отделение ГБУЗ «МОБ» для верификации, оперативного лечения с последующим переводом в   ГБУЗ «МООД» для проведения химиотерапии или лучевого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 выявлении или подозрении на доброкачественные или злокачественные опухоли головного или спинного мозга направлять пациентов </w:t>
      </w:r>
      <w:r>
        <w:rPr>
          <w:sz w:val="28"/>
          <w:szCs w:val="28"/>
        </w:rPr>
        <w:lastRenderedPageBreak/>
        <w:t>на консультацию к нейрохирургу областной консультативной поликлиники ГБУЗ «МОБ» с последующей госпитализацией в нейрохирургическое отделение ГБУЗ «МОБ» для оперативного лечения или возможного последующего направления в специализированный центр.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локализации ЗНО в области глаза: направлять пациентов на консультацию к офтальмологу областной консультативной поликлиники ГБУЗ «МОБ» с последующей госпитализацией в офтальмологическое отделение ГБУЗ «МОБ» для оперативного лечения.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подозрении или выявлении опухолей костно-мышечного аппарата: направлять пациентов на консультацию к ортопеду областной консультативной поликлиники ГБУЗ «МОБ» с  последующим направлением в ГБУЗ «МООД» для лечения или направления в специализированные центры.</w:t>
      </w:r>
    </w:p>
    <w:p>
      <w:pPr>
        <w:pStyle w:val="a6"/>
        <w:numPr>
          <w:ilvl w:val="1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подозрении и (или) выявлении опухолей кроветворных тканей: направлять пациентов на консультацию к гематологу областной консультативной поликлиники ГБУЗ «МОБ» с  последующим направлением на гематологические койки терапевтического отделения  ГБУЗ «МОБ».</w:t>
      </w:r>
    </w:p>
    <w:p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подозрении и (или) выявлении онкологического заболевания с развитием осложнений, требующих экстренного оперативного вмешательства направлять больных в ближайшее лечебное учреждение, имеющее ургентную хирургическую службу или в ГБУЗ «МОБ»; при развитии гинекологических осложнений в ОГБУЗ «Магаданский родильный дом» для оказания экстренной медицинской помощи. После купирования осложнений опухолевого процесса направлять больных в ГБУЗ «МООД» для решения вопроса о дальнейшей тактике лечения.</w:t>
      </w:r>
    </w:p>
    <w:p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лечении больного, имеющего онкологическое заболевание в непрофильных отделениях  за пределами ГБУЗ «МООД»,  в медицинских картах обязательно указывать обоснование проведенного лечения в данном отделении; в медицинских организациях города Магадан необходима  консультация врача-онколога с выполнением его рекомендаций.</w:t>
      </w:r>
    </w:p>
    <w:p>
      <w:pPr>
        <w:pStyle w:val="a6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Для проведения противоопухолевого лекарственного лечения (химиотерапия) ЗНО в Магаданской области вне зависимости от локализации процесса направлять больных  в ГБУЗ «МООД».</w:t>
      </w:r>
    </w:p>
    <w:p>
      <w:pPr>
        <w:pStyle w:val="a6"/>
        <w:ind w:left="709" w:firstLine="0"/>
      </w:pPr>
    </w:p>
    <w:sectPr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543F"/>
    <w:multiLevelType w:val="multilevel"/>
    <w:tmpl w:val="67A487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EDF3A5D"/>
    <w:multiLevelType w:val="multilevel"/>
    <w:tmpl w:val="37F87BAC"/>
    <w:styleLink w:val="a"/>
    <w:lvl w:ilvl="0">
      <w:start w:val="1"/>
      <w:numFmt w:val="russianUpper"/>
      <w:pStyle w:val="a0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1"/>
      <w:suff w:val="space"/>
      <w:lvlText w:val="Таблица %1.%2"/>
      <w:lvlJc w:val="left"/>
      <w:pPr>
        <w:ind w:left="502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приложения 1"/>
    <w:basedOn w:val="1"/>
    <w:next w:val="a0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 w:cs="Times New Roman"/>
      <w:bCs w:val="0"/>
      <w:color w:val="auto"/>
      <w:sz w:val="26"/>
      <w:szCs w:val="24"/>
      <w:lang w:val="x-none" w:eastAsia="x-none"/>
    </w:rPr>
  </w:style>
  <w:style w:type="paragraph" w:customStyle="1" w:styleId="a1">
    <w:name w:val="Список таблиц приложения"/>
    <w:basedOn w:val="a2"/>
    <w:next w:val="a2"/>
    <w:pPr>
      <w:keepNext/>
      <w:numPr>
        <w:ilvl w:val="1"/>
        <w:numId w:val="1"/>
      </w:numPr>
      <w:spacing w:before="100" w:beforeAutospacing="1" w:after="120" w:line="240" w:lineRule="auto"/>
      <w:jc w:val="left"/>
    </w:pPr>
  </w:style>
  <w:style w:type="paragraph" w:customStyle="1" w:styleId="a0">
    <w:name w:val="Нумератор таблиц приложения"/>
    <w:basedOn w:val="a2"/>
    <w:next w:val="a2"/>
    <w:pPr>
      <w:numPr>
        <w:numId w:val="1"/>
      </w:numPr>
    </w:pPr>
  </w:style>
  <w:style w:type="numbering" w:customStyle="1" w:styleId="a">
    <w:name w:val="Нумерация таблиц приложения"/>
    <w:pPr>
      <w:numPr>
        <w:numId w:val="1"/>
      </w:numPr>
    </w:pPr>
  </w:style>
  <w:style w:type="character" w:customStyle="1" w:styleId="10">
    <w:name w:val="Заголовок 1 Знак"/>
    <w:basedOn w:val="a3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kern w:val="24"/>
      <w:sz w:val="28"/>
      <w:szCs w:val="28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1">
    <w:name w:val="heading 1"/>
    <w:basedOn w:val="a2"/>
    <w:next w:val="a2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приложения 1"/>
    <w:basedOn w:val="1"/>
    <w:next w:val="a0"/>
    <w:pPr>
      <w:pageBreakBefore/>
      <w:tabs>
        <w:tab w:val="right" w:pos="10206"/>
      </w:tabs>
      <w:suppressAutoHyphens/>
      <w:spacing w:before="360" w:after="360" w:line="240" w:lineRule="auto"/>
      <w:ind w:firstLine="0"/>
      <w:contextualSpacing/>
      <w:jc w:val="center"/>
    </w:pPr>
    <w:rPr>
      <w:rFonts w:ascii="Times New Roman" w:eastAsia="MS Mincho" w:hAnsi="Times New Roman" w:cs="Times New Roman"/>
      <w:bCs w:val="0"/>
      <w:color w:val="auto"/>
      <w:sz w:val="26"/>
      <w:szCs w:val="24"/>
      <w:lang w:val="x-none" w:eastAsia="x-none"/>
    </w:rPr>
  </w:style>
  <w:style w:type="paragraph" w:customStyle="1" w:styleId="a1">
    <w:name w:val="Список таблиц приложения"/>
    <w:basedOn w:val="a2"/>
    <w:next w:val="a2"/>
    <w:pPr>
      <w:keepNext/>
      <w:numPr>
        <w:ilvl w:val="1"/>
        <w:numId w:val="1"/>
      </w:numPr>
      <w:spacing w:before="100" w:beforeAutospacing="1" w:after="120" w:line="240" w:lineRule="auto"/>
      <w:jc w:val="left"/>
    </w:pPr>
  </w:style>
  <w:style w:type="paragraph" w:customStyle="1" w:styleId="a0">
    <w:name w:val="Нумератор таблиц приложения"/>
    <w:basedOn w:val="a2"/>
    <w:next w:val="a2"/>
    <w:pPr>
      <w:numPr>
        <w:numId w:val="1"/>
      </w:numPr>
    </w:pPr>
  </w:style>
  <w:style w:type="numbering" w:customStyle="1" w:styleId="a">
    <w:name w:val="Нумерация таблиц приложения"/>
    <w:pPr>
      <w:numPr>
        <w:numId w:val="1"/>
      </w:numPr>
    </w:pPr>
  </w:style>
  <w:style w:type="character" w:customStyle="1" w:styleId="10">
    <w:name w:val="Заголовок 1 Знак"/>
    <w:basedOn w:val="a3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kern w:val="24"/>
      <w:sz w:val="28"/>
      <w:szCs w:val="28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Янкова</dc:creator>
  <cp:keywords/>
  <dc:description/>
  <cp:lastModifiedBy>Казенцева О.И.</cp:lastModifiedBy>
  <cp:revision>15</cp:revision>
  <dcterms:created xsi:type="dcterms:W3CDTF">2016-08-25T23:17:00Z</dcterms:created>
  <dcterms:modified xsi:type="dcterms:W3CDTF">2016-11-03T00:44:00Z</dcterms:modified>
</cp:coreProperties>
</file>